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562"/>
      </w:tblGrid>
      <w:tr w:rsidR="000E344F" w:rsidRPr="000E344F" w:rsidTr="000E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44F" w:rsidRPr="000E344F" w:rsidRDefault="000E344F" w:rsidP="000E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4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356001" wp14:editId="12B0F509">
                  <wp:extent cx="1531620" cy="2164080"/>
                  <wp:effectExtent l="0" t="0" r="0" b="7620"/>
                  <wp:docPr id="1" name="Image 1" descr="http://sahm53.fr/old/Images/revu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344F" w:rsidRPr="000E344F" w:rsidRDefault="000E344F" w:rsidP="000E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44F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29B5189D" wp14:editId="237DF74F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44F" w:rsidRPr="000E344F" w:rsidRDefault="000E344F" w:rsidP="000E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44F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12</w:t>
            </w:r>
          </w:p>
          <w:p w:rsidR="000E344F" w:rsidRPr="000E344F" w:rsidRDefault="000E344F" w:rsidP="000E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3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(année1989)</w:t>
            </w:r>
            <w:r w:rsidRPr="000E344F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0E344F" w:rsidRPr="000E344F" w:rsidRDefault="000E344F" w:rsidP="000E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E34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NAVEAU J, MARE E, Les fouilles de l'église de Neau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GUERIN J, GUYARD L, VALAIS A, La Cassine : un monument mal connu et menacé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ANTOINE A, La réaction féodale: une notion mal adaptée au Bas-Maine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SURCOUF J, A propos du synode de 1788 au Mans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ORMIERES J-L, Les députés du Maine et de l'Anjou aux Etats Généraux et à la Constituante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 xml:space="preserve">QUERUAU-LAMERIE E, L'abbé </w:t>
      </w:r>
      <w:proofErr w:type="spellStart"/>
      <w:r w:rsidRPr="000E344F">
        <w:rPr>
          <w:rFonts w:ascii="Arial" w:eastAsia="Times New Roman" w:hAnsi="Arial" w:cs="Arial"/>
          <w:sz w:val="24"/>
          <w:szCs w:val="24"/>
          <w:lang w:eastAsia="fr-FR"/>
        </w:rPr>
        <w:t>Grandin</w:t>
      </w:r>
      <w:proofErr w:type="spellEnd"/>
      <w:r w:rsidRPr="000E344F">
        <w:rPr>
          <w:rFonts w:ascii="Arial" w:eastAsia="Times New Roman" w:hAnsi="Arial" w:cs="Arial"/>
          <w:sz w:val="24"/>
          <w:szCs w:val="24"/>
          <w:lang w:eastAsia="fr-FR"/>
        </w:rPr>
        <w:t>: de la Révolution à la clandestinité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MAYNARD de D, Les vicissitudes de Jean-Baptiste-Joseph, marquis de Bailly, député aux Etats Généraux, et de sa famille pendant les années sombres de la Révolution française</w:t>
      </w:r>
      <w:r w:rsidRPr="000E3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 xml:space="preserve">SALBERT J, </w:t>
      </w:r>
      <w:proofErr w:type="spellStart"/>
      <w:r w:rsidRPr="000E344F">
        <w:rPr>
          <w:rFonts w:ascii="Arial" w:eastAsia="Times New Roman" w:hAnsi="Arial" w:cs="Arial"/>
          <w:sz w:val="24"/>
          <w:szCs w:val="24"/>
          <w:lang w:eastAsia="fr-FR"/>
        </w:rPr>
        <w:t>Maupetit</w:t>
      </w:r>
      <w:proofErr w:type="spellEnd"/>
      <w:r w:rsidRPr="000E344F">
        <w:rPr>
          <w:rFonts w:ascii="Arial" w:eastAsia="Times New Roman" w:hAnsi="Arial" w:cs="Arial"/>
          <w:sz w:val="24"/>
          <w:szCs w:val="24"/>
          <w:lang w:eastAsia="fr-FR"/>
        </w:rPr>
        <w:t xml:space="preserve"> ou l'apprentissage de la démocratie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GAULMIER J, Volney, la Raison et l'Histoire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PESCHOT B, La guerre des vivres dans le sud de la Mayenne (1794-1796)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BARREAU J, Un document de 1815 sur Jean Chouan et sa famille</w:t>
      </w:r>
    </w:p>
    <w:p w:rsidR="000E344F" w:rsidRPr="000E344F" w:rsidRDefault="000E344F" w:rsidP="000E3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4F">
        <w:rPr>
          <w:rFonts w:ascii="Arial" w:eastAsia="Times New Roman" w:hAnsi="Arial" w:cs="Arial"/>
          <w:sz w:val="24"/>
          <w:szCs w:val="24"/>
          <w:lang w:eastAsia="fr-FR"/>
        </w:rPr>
        <w:t>BOUFLET, J-H, BOUFLET-BRUNEAU, F, Les Poiriers, la " maison de Jean Chouan " et la famille Cottereau</w:t>
      </w:r>
      <w:r w:rsidRPr="000E34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F"/>
    <w:rsid w:val="000E344F"/>
    <w:rsid w:val="00911F0F"/>
    <w:rsid w:val="00A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2018-01-22T15:41:00Z</dcterms:created>
  <dcterms:modified xsi:type="dcterms:W3CDTF">2018-01-24T13:17:00Z</dcterms:modified>
</cp:coreProperties>
</file>